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D3" w:rsidRDefault="00E74DA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36046" cy="2194560"/>
            <wp:effectExtent l="0" t="0" r="2540" b="0"/>
            <wp:docPr id="9" name="Рисунок 9" descr="C:\Users\Коляля\Documents\National Instruments\Circuit Design Suite 12.0\3 лаб электроника ключевой режим\Метод_материалы\Графи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яля\Documents\National Instruments\Circuit Design Suite 12.0\3 лаб электроника ключевой режим\Метод_материалы\Графики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9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66C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06186" cy="2179320"/>
            <wp:effectExtent l="0" t="0" r="0" b="0"/>
            <wp:docPr id="10" name="Рисунок 10" descr="C:\Users\Коляля\Documents\National Instruments\Circuit Design Suite 12.0\3 лаб электроника ключевой режим\Метод_материалы\Графи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яля\Documents\National Instruments\Circuit Design Suite 12.0\3 лаб электроника ключевой режим\Метод_материалы\График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86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6C" w:rsidRDefault="00E74DA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61360" cy="2217420"/>
            <wp:effectExtent l="0" t="0" r="0" b="0"/>
            <wp:docPr id="11" name="Рисунок 11" descr="C:\Users\Коляля\Documents\National Instruments\Circuit Design Suite 12.0\3 лаб электроника ключевой режим\Метод_материалы\Графи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ляля\Documents\National Instruments\Circuit Design Suite 12.0\3 лаб электроника ключевой режим\Метод_материалы\Графики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66C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53740" cy="2202180"/>
            <wp:effectExtent l="0" t="0" r="3810" b="7620"/>
            <wp:docPr id="12" name="Рисунок 12" descr="C:\Users\Коляля\Documents\National Instruments\Circuit Design Suite 12.0\3 лаб электроника ключевой режим\Метод_материалы\Графи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ляля\Documents\National Instruments\Circuit Design Suite 12.0\3 лаб электроника ключевой режим\Метод_материалы\Графики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6C" w:rsidRDefault="00F14B4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61360" cy="2217420"/>
            <wp:effectExtent l="0" t="0" r="0" b="0"/>
            <wp:docPr id="13" name="Рисунок 13" descr="C:\Users\Коляля\Documents\National Instruments\Circuit Design Suite 12.0\3 лаб электроника ключевой режим\Метод_материалы\Графи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ляля\Documents\National Instruments\Circuit Design Suite 12.0\3 лаб электроника ключевой режим\Метод_материалы\Графики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66C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352800" cy="2270760"/>
            <wp:effectExtent l="0" t="0" r="0" b="0"/>
            <wp:docPr id="14" name="Рисунок 14" descr="C:\Users\Коляля\Documents\National Instruments\Circuit Design Suite 12.0\3 лаб электроника ключевой режим\Метод_материалы\Графи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ляля\Documents\National Instruments\Circuit Design Suite 12.0\3 лаб электроника ключевой режим\Метод_материалы\Графики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6C" w:rsidRDefault="00F14B4A">
      <w:r>
        <w:rPr>
          <w:noProof/>
          <w:lang w:eastAsia="ru-RU"/>
        </w:rPr>
        <w:drawing>
          <wp:inline distT="0" distB="0" distL="0" distR="0">
            <wp:extent cx="3276600" cy="2225040"/>
            <wp:effectExtent l="0" t="0" r="0" b="3810"/>
            <wp:docPr id="15" name="Рисунок 15" descr="C:\Users\Коляля\Documents\National Instruments\Circuit Design Suite 12.0\3 лаб электроника ключевой режим\Метод_материалы\График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ляля\Documents\National Instruments\Circuit Design Suite 12.0\3 лаб электроника ключевой режим\Метод_материалы\Графики\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66C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322320" cy="2255520"/>
            <wp:effectExtent l="0" t="0" r="0" b="0"/>
            <wp:docPr id="16" name="Рисунок 16" descr="C:\Users\Коляля\Documents\National Instruments\Circuit Design Suite 12.0\3 лаб электроника ключевой режим\Метод_материалы\Графи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ляля\Documents\National Instruments\Circuit Design Suite 12.0\3 лаб электроника ключевой режим\Метод_материалы\Графики\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D3" w:rsidRDefault="00602ED3"/>
    <w:p w:rsidR="00602ED3" w:rsidRDefault="00602ED3" w:rsidP="00602ED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Расчёт </w:t>
      </w:r>
      <w:proofErr w:type="spellStart"/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en-US"/>
        </w:rPr>
        <w:t>k</w:t>
      </w:r>
      <w:proofErr w:type="spellEnd"/>
      <w:r w:rsidRPr="00602ED3">
        <w:rPr>
          <w:sz w:val="24"/>
          <w:szCs w:val="24"/>
          <w:vertAlign w:val="subscript"/>
        </w:rPr>
        <w:t xml:space="preserve"> </w:t>
      </w:r>
      <w:r w:rsidRPr="00602ED3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границы насыщения транзистора.</w:t>
      </w:r>
    </w:p>
    <w:p w:rsidR="00602ED3" w:rsidRDefault="00602ED3" w:rsidP="00602ED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Расчёт статического коэффициента усиления по току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при активном режиме работы транзистора.</w:t>
      </w:r>
    </w:p>
    <w:p w:rsidR="00602ED3" w:rsidRDefault="00602ED3" w:rsidP="00602ED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Исследование динамических характеристик транзисторного ключа.</w:t>
      </w:r>
    </w:p>
    <w:p w:rsidR="00602ED3" w:rsidRDefault="00602ED3" w:rsidP="00602ED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Определение времени формирования фронта </w:t>
      </w:r>
      <w:proofErr w:type="spellStart"/>
      <w:r>
        <w:rPr>
          <w:sz w:val="24"/>
          <w:szCs w:val="24"/>
        </w:rPr>
        <w:t>τ</w:t>
      </w:r>
      <w:proofErr w:type="gramStart"/>
      <w:r>
        <w:rPr>
          <w:sz w:val="24"/>
          <w:szCs w:val="24"/>
          <w:vertAlign w:val="subscript"/>
        </w:rPr>
        <w:t>ф</w:t>
      </w:r>
      <w:proofErr w:type="spellEnd"/>
      <w:proofErr w:type="gramEnd"/>
      <w:r>
        <w:rPr>
          <w:sz w:val="24"/>
          <w:szCs w:val="24"/>
        </w:rPr>
        <w:t>.</w:t>
      </w:r>
    </w:p>
    <w:p w:rsidR="00602ED3" w:rsidRDefault="00602ED3" w:rsidP="00602ED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Определение времени рассасывания </w:t>
      </w:r>
      <w:proofErr w:type="spellStart"/>
      <w:r w:rsidR="000B05F9" w:rsidRPr="000B05F9">
        <w:rPr>
          <w:sz w:val="24"/>
          <w:szCs w:val="24"/>
        </w:rPr>
        <w:t>τ</w:t>
      </w:r>
      <w:r w:rsidR="000B05F9">
        <w:rPr>
          <w:sz w:val="24"/>
          <w:szCs w:val="24"/>
          <w:vertAlign w:val="subscript"/>
        </w:rPr>
        <w:t>р</w:t>
      </w:r>
      <w:proofErr w:type="spellEnd"/>
      <w:r w:rsidR="000B05F9">
        <w:rPr>
          <w:sz w:val="24"/>
          <w:szCs w:val="24"/>
        </w:rPr>
        <w:t xml:space="preserve"> </w:t>
      </w:r>
      <w:r w:rsidRPr="000B05F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65B61">
        <w:rPr>
          <w:sz w:val="24"/>
          <w:szCs w:val="24"/>
        </w:rPr>
        <w:t xml:space="preserve">среза </w:t>
      </w:r>
      <w:bookmarkStart w:id="0" w:name="_GoBack"/>
      <w:bookmarkEnd w:id="0"/>
      <w:proofErr w:type="spellStart"/>
      <w:r w:rsidR="000B05F9">
        <w:rPr>
          <w:sz w:val="24"/>
          <w:szCs w:val="24"/>
        </w:rPr>
        <w:t>τ</w:t>
      </w:r>
      <w:r w:rsidR="000B05F9">
        <w:rPr>
          <w:sz w:val="24"/>
          <w:szCs w:val="24"/>
          <w:vertAlign w:val="subscript"/>
        </w:rPr>
        <w:t>с</w:t>
      </w:r>
      <w:proofErr w:type="spellEnd"/>
      <w:r w:rsidR="000B05F9">
        <w:rPr>
          <w:sz w:val="24"/>
          <w:szCs w:val="24"/>
        </w:rPr>
        <w:t xml:space="preserve"> .</w:t>
      </w:r>
    </w:p>
    <w:p w:rsidR="000B05F9" w:rsidRDefault="000B05F9" w:rsidP="00602ED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Влияние на динамические характеристики форсирующего конденсатора.</w:t>
      </w:r>
    </w:p>
    <w:p w:rsidR="000B05F9" w:rsidRDefault="000B05F9" w:rsidP="000B05F9">
      <w:pPr>
        <w:pStyle w:val="a5"/>
        <w:numPr>
          <w:ilvl w:val="0"/>
          <w:numId w:val="1"/>
        </w:numPr>
        <w:rPr>
          <w:sz w:val="24"/>
          <w:szCs w:val="24"/>
        </w:rPr>
      </w:pPr>
      <w:r w:rsidRPr="000B05F9">
        <w:rPr>
          <w:sz w:val="24"/>
          <w:szCs w:val="24"/>
        </w:rPr>
        <w:t>Влияние на динамические характеристики</w:t>
      </w:r>
      <w:r>
        <w:rPr>
          <w:sz w:val="24"/>
          <w:szCs w:val="24"/>
        </w:rPr>
        <w:t xml:space="preserve"> конденсатора нагрузки.</w:t>
      </w:r>
    </w:p>
    <w:p w:rsidR="000B05F9" w:rsidRPr="00602ED3" w:rsidRDefault="000B05F9" w:rsidP="000B05F9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Работа ключа с инверсным запиранием.</w:t>
      </w:r>
    </w:p>
    <w:sectPr w:rsidR="000B05F9" w:rsidRPr="00602ED3" w:rsidSect="004C166C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6DC6"/>
    <w:multiLevelType w:val="hybridMultilevel"/>
    <w:tmpl w:val="131C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6C"/>
    <w:rsid w:val="000B05F9"/>
    <w:rsid w:val="00326AD3"/>
    <w:rsid w:val="00365B61"/>
    <w:rsid w:val="004C166C"/>
    <w:rsid w:val="00602ED3"/>
    <w:rsid w:val="00E74DAB"/>
    <w:rsid w:val="00F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2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Kolyala</dc:creator>
  <cp:keywords/>
  <dc:description/>
  <cp:lastModifiedBy>Коляля</cp:lastModifiedBy>
  <cp:revision>4</cp:revision>
  <dcterms:created xsi:type="dcterms:W3CDTF">2016-04-16T17:45:00Z</dcterms:created>
  <dcterms:modified xsi:type="dcterms:W3CDTF">2017-04-19T10:48:00Z</dcterms:modified>
</cp:coreProperties>
</file>